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40"/>
          <w:tab w:val="center" w:leader="none" w:pos="4252"/>
          <w:tab w:val="right" w:leader="none" w:pos="8504"/>
        </w:tabs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ab/>
        <w:t xml:space="preserve">cc</w:t>
        <w:tab/>
        <w:t xml:space="preserve">NEW GENERATION CHRISTIAN SCHOOL</w:t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78105</wp:posOffset>
            </wp:positionH>
            <wp:positionV relativeFrom="paragraph">
              <wp:posOffset>-381632</wp:posOffset>
            </wp:positionV>
            <wp:extent cx="1158240" cy="1135380"/>
            <wp:effectExtent b="0" l="0" r="0" t="0"/>
            <wp:wrapNone/>
            <wp:docPr id="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35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Calendario Lectivo para padres 2025-2026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203200</wp:posOffset>
                </wp:positionV>
                <wp:extent cx="3997960" cy="1898312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70833" y="2983075"/>
                          <a:ext cx="3950335" cy="159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04-08	Semana de Orientación, Capacitación y P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lanificación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docente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11	Inicio de clases 7:30 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22	Simulacro de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emergencia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área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de Sociales (Motines, Amenazas Externas)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23	1era. Conferencia Padres de Familia 8:00 a 11:00 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Primer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parcial 11 de agosto al 18 de octubre: 50 días lectivos.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Atención a padres de familia por plataforma educativa o personalmente de 2:10 a 2:30 pm.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203200</wp:posOffset>
                </wp:positionV>
                <wp:extent cx="3997960" cy="1898312"/>
                <wp:effectExtent b="0" l="0" r="0" t="0"/>
                <wp:wrapNone/>
                <wp:docPr id="7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7960" cy="18983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3075.0" w:type="dxa"/>
        <w:jc w:val="left"/>
        <w:tblLayout w:type="fixed"/>
        <w:tblLook w:val="0400"/>
      </w:tblPr>
      <w:tblGrid>
        <w:gridCol w:w="390"/>
        <w:gridCol w:w="510"/>
        <w:gridCol w:w="450"/>
        <w:gridCol w:w="405"/>
        <w:gridCol w:w="390"/>
        <w:gridCol w:w="420"/>
        <w:gridCol w:w="510"/>
        <w:tblGridChange w:id="0">
          <w:tblGrid>
            <w:gridCol w:w="390"/>
            <w:gridCol w:w="510"/>
            <w:gridCol w:w="450"/>
            <w:gridCol w:w="405"/>
            <w:gridCol w:w="390"/>
            <w:gridCol w:w="420"/>
            <w:gridCol w:w="5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Agosto    2025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i w:val="1"/>
                <w:shd w:fill="bfbfbf" w:val="clear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i w:val="1"/>
                <w:shd w:fill="bfbfbf" w:val="clear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i w:val="1"/>
                <w:shd w:fill="bfbfbf" w:val="clear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i w:val="1"/>
                <w:shd w:fill="bfbfbf" w:val="clear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203200</wp:posOffset>
                </wp:positionV>
                <wp:extent cx="3997960" cy="1898312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70833" y="2983075"/>
                          <a:ext cx="3950335" cy="159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Acto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Cívico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Día de la Bandera Nacional, Inicio Fiestas Patrias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  Apertura de Proyecto Cívico/ Acto Cívico día de la Bandera Nacional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10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Celebración Día del Niño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Acto Especial Día de la Independencia y Día del Maestro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;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Feriado Día de la Independencia y Día del Maestro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Gran Maratón Independencia (P.E. Coordina Evento)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Entrega a Padres Primer Reporte de la mitad del 1er. Parcial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Clausura de Proyecto Cívico./Actos Pliegos de Independencia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Cierre del Proyecto Cívico (Feria Catracha)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203200</wp:posOffset>
                </wp:positionV>
                <wp:extent cx="3997960" cy="1898312"/>
                <wp:effectExtent b="0" l="0" r="0" t="0"/>
                <wp:wrapNone/>
                <wp:docPr id="8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7960" cy="18983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3075.0" w:type="dxa"/>
        <w:jc w:val="left"/>
        <w:tblLayout w:type="fixed"/>
        <w:tblLook w:val="0400"/>
      </w:tblPr>
      <w:tblGrid>
        <w:gridCol w:w="390"/>
        <w:gridCol w:w="510"/>
        <w:gridCol w:w="450"/>
        <w:gridCol w:w="405"/>
        <w:gridCol w:w="390"/>
        <w:gridCol w:w="420"/>
        <w:gridCol w:w="510"/>
        <w:tblGridChange w:id="0">
          <w:tblGrid>
            <w:gridCol w:w="390"/>
            <w:gridCol w:w="510"/>
            <w:gridCol w:w="450"/>
            <w:gridCol w:w="405"/>
            <w:gridCol w:w="390"/>
            <w:gridCol w:w="420"/>
            <w:gridCol w:w="5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Septiembre   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i w:val="1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i w:val="1"/>
                <w:color w:val="000000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i w:val="1"/>
                <w:color w:val="000000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i w:val="1"/>
                <w:color w:val="000000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i w:val="1"/>
                <w:color w:val="000000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i w:val="1"/>
                <w:color w:val="ff0000"/>
                <w:shd w:fill="bfbfb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color w:val="1d1b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12700</wp:posOffset>
                </wp:positionV>
                <wp:extent cx="3766185" cy="2507612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472433" y="2732250"/>
                          <a:ext cx="374713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	Feriado Morazánico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	Festividad escolar Aniversario de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nacimiento de Francisco Morazán              y Dionisio de Herrera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Acto Cívico, (Mención)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06-10 	Semana de repaso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	 Acto Cívico Hispanidad **(03, 09, 12 Hispanidad) (Men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	 Exámenes ordinarios del  1er. Parcial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	 Sábado Juegos Tradicionales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	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Inicio del Segundo Parcial (21 de octubre al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19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de diciembre: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   Días Lectivos) y día de las Fuerzas Armadas.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24     	 Festividad Escolar Día de Las Naciones Unidas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	Informes Académicos Primer Parcial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12700</wp:posOffset>
                </wp:positionV>
                <wp:extent cx="3766185" cy="2507612"/>
                <wp:effectExtent b="0" l="0" r="0" t="0"/>
                <wp:wrapNone/>
                <wp:docPr id="8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6185" cy="2507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3069.0" w:type="dxa"/>
        <w:jc w:val="left"/>
        <w:tblLayout w:type="fixed"/>
        <w:tblLook w:val="0400"/>
      </w:tblPr>
      <w:tblGrid>
        <w:gridCol w:w="404"/>
        <w:gridCol w:w="482"/>
        <w:gridCol w:w="454"/>
        <w:gridCol w:w="400"/>
        <w:gridCol w:w="385"/>
        <w:gridCol w:w="426"/>
        <w:gridCol w:w="518"/>
        <w:tblGridChange w:id="0">
          <w:tblGrid>
            <w:gridCol w:w="404"/>
            <w:gridCol w:w="482"/>
            <w:gridCol w:w="454"/>
            <w:gridCol w:w="400"/>
            <w:gridCol w:w="385"/>
            <w:gridCol w:w="426"/>
            <w:gridCol w:w="5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Octubre   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3064.0" w:type="dxa"/>
        <w:jc w:val="left"/>
        <w:tblLayout w:type="fixed"/>
        <w:tblLook w:val="0400"/>
      </w:tblPr>
      <w:tblGrid>
        <w:gridCol w:w="404"/>
        <w:gridCol w:w="478"/>
        <w:gridCol w:w="453"/>
        <w:gridCol w:w="400"/>
        <w:gridCol w:w="385"/>
        <w:gridCol w:w="426"/>
        <w:gridCol w:w="518"/>
        <w:tblGridChange w:id="0">
          <w:tblGrid>
            <w:gridCol w:w="404"/>
            <w:gridCol w:w="478"/>
            <w:gridCol w:w="453"/>
            <w:gridCol w:w="400"/>
            <w:gridCol w:w="385"/>
            <w:gridCol w:w="426"/>
            <w:gridCol w:w="5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Noviembre   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color w:val="b7b7b7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30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76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Elección Gobierno Escolar Estudiantil</w:t>
      </w:r>
    </w:p>
    <w:p w:rsidR="00000000" w:rsidDel="00000000" w:rsidP="00000000" w:rsidRDefault="00000000" w:rsidRPr="00000000" w14:paraId="000000EF">
      <w:pPr>
        <w:spacing w:after="0" w:line="276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Acto Cívico Nac. José Cecilio del Valle (Mención)</w:t>
      </w:r>
    </w:p>
    <w:p w:rsidR="00000000" w:rsidDel="00000000" w:rsidP="00000000" w:rsidRDefault="00000000" w:rsidRPr="00000000" w14:paraId="000000F0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Entrega a Padres Primer Reporte de la mitad del 2º. Parcial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Acto Cívico Día de Acción de Gracias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y feria del emprendedurismo. Empresas escolares por grados y jornadas.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Feriado Día de Acción de Gracias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88900</wp:posOffset>
                </wp:positionV>
                <wp:extent cx="3844290" cy="48768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433380" y="3545685"/>
                          <a:ext cx="3825240" cy="4686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88900</wp:posOffset>
                </wp:positionV>
                <wp:extent cx="3844290" cy="487680"/>
                <wp:effectExtent b="0" l="0" r="0" t="0"/>
                <wp:wrapNone/>
                <wp:docPr id="8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4290" cy="487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1008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firstLine="708"/>
        <w:rPr>
          <w:color w:val="1d1b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color w:val="1d1b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color w:val="1d1b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217264</wp:posOffset>
                </wp:positionV>
                <wp:extent cx="3724275" cy="1800972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260025" y="2855250"/>
                          <a:ext cx="5199300" cy="16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Entrega lineamientos de la Sem. De Inglés a los alumnos para llevar a casa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Entrega de temarios, guías y exámenes para el 2do. Parcial..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-0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Presentación de coros Navideños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08-12    Repasos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Ensayo General Programa de Navidad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13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Drama Musical de Navidad.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15-19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Exámenes del II Parcial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y lineamientos programa semana de inglés.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Obra de Navidad Pre Básica.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-Dic.  Al 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4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 enero Vacaciones Fiestas de Navidad y Año Nuevo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217264</wp:posOffset>
                </wp:positionV>
                <wp:extent cx="3724275" cy="1800972"/>
                <wp:effectExtent b="0" l="0" r="0" t="0"/>
                <wp:wrapNone/>
                <wp:docPr id="7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4275" cy="18009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3139.0000000000005" w:type="dxa"/>
        <w:jc w:val="left"/>
        <w:tblLayout w:type="fixed"/>
        <w:tblLook w:val="0400"/>
      </w:tblPr>
      <w:tblGrid>
        <w:gridCol w:w="404"/>
        <w:gridCol w:w="473"/>
        <w:gridCol w:w="453"/>
        <w:gridCol w:w="400"/>
        <w:gridCol w:w="385"/>
        <w:gridCol w:w="506"/>
        <w:gridCol w:w="518"/>
        <w:tblGridChange w:id="0">
          <w:tblGrid>
            <w:gridCol w:w="404"/>
            <w:gridCol w:w="473"/>
            <w:gridCol w:w="453"/>
            <w:gridCol w:w="400"/>
            <w:gridCol w:w="385"/>
            <w:gridCol w:w="506"/>
            <w:gridCol w:w="5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Diciembre   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left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left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165100</wp:posOffset>
                </wp:positionV>
                <wp:extent cx="3722370" cy="2105127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94350" y="2192725"/>
                          <a:ext cx="3907500" cy="18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Reinicio de clases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12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Dia del Escudo Nacional Acto Cívico (M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ención)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7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Entrega de  Rendimiento Académico II parcial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19-23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Semana del Idioma Inglés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19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Envío de lineamientos para feria de STEAM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24      Retiro de maestros.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Festividad escolar acto cívico día de la Mujer (Mención)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Tercer Parcial del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05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 enero al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de marzo: 55 días lectivos.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165100</wp:posOffset>
                </wp:positionV>
                <wp:extent cx="3722370" cy="2105127"/>
                <wp:effectExtent b="0" l="0" r="0" t="0"/>
                <wp:wrapNone/>
                <wp:docPr id="7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2370" cy="21051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3139.0000000000005" w:type="dxa"/>
        <w:jc w:val="left"/>
        <w:tblLayout w:type="fixed"/>
        <w:tblLook w:val="0400"/>
      </w:tblPr>
      <w:tblGrid>
        <w:gridCol w:w="404"/>
        <w:gridCol w:w="473"/>
        <w:gridCol w:w="453"/>
        <w:gridCol w:w="400"/>
        <w:gridCol w:w="385"/>
        <w:gridCol w:w="506"/>
        <w:gridCol w:w="518"/>
        <w:tblGridChange w:id="0">
          <w:tblGrid>
            <w:gridCol w:w="404"/>
            <w:gridCol w:w="473"/>
            <w:gridCol w:w="453"/>
            <w:gridCol w:w="400"/>
            <w:gridCol w:w="385"/>
            <w:gridCol w:w="506"/>
            <w:gridCol w:w="5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Enero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292100</wp:posOffset>
                </wp:positionV>
                <wp:extent cx="4105910" cy="1790977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302570" y="2915130"/>
                          <a:ext cx="408686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12            Entrega de lineamientos de Francofonía por grados.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13        	Envío de reporte de mitad de 3er. Parcial a los padres.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Retiro Secundaria/Día de la Amistad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Vacaciones de Primavera (Spring Break)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23-26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	STEAM Fair (10 y 11-7º. a 9º. 12- 10o. y 11o).,  12 y 13 (Primaria, 14 Prebásica)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  Entrega de lineamientos para la feria del deporte y de reciclaje.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27             Gimnasiada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292100</wp:posOffset>
                </wp:positionV>
                <wp:extent cx="4105910" cy="1790977"/>
                <wp:effectExtent b="0" l="0" r="0" t="0"/>
                <wp:wrapNone/>
                <wp:docPr id="7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910" cy="1790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3080.0" w:type="dxa"/>
        <w:jc w:val="left"/>
        <w:tblLayout w:type="fixed"/>
        <w:tblLook w:val="0400"/>
      </w:tblPr>
      <w:tblGrid>
        <w:gridCol w:w="404"/>
        <w:gridCol w:w="475"/>
        <w:gridCol w:w="453"/>
        <w:gridCol w:w="400"/>
        <w:gridCol w:w="385"/>
        <w:gridCol w:w="426"/>
        <w:gridCol w:w="537"/>
        <w:tblGridChange w:id="0">
          <w:tblGrid>
            <w:gridCol w:w="404"/>
            <w:gridCol w:w="475"/>
            <w:gridCol w:w="453"/>
            <w:gridCol w:w="400"/>
            <w:gridCol w:w="385"/>
            <w:gridCol w:w="426"/>
            <w:gridCol w:w="53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Febrero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200025</wp:posOffset>
                </wp:positionV>
                <wp:extent cx="3533775" cy="2137503"/>
                <wp:effectExtent b="0" l="0" r="0" t="0"/>
                <wp:wrapNone/>
                <wp:docPr id="8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57600" y="1813550"/>
                          <a:ext cx="3533775" cy="2137503"/>
                          <a:chOff x="3657600" y="1813550"/>
                          <a:chExt cx="3886200" cy="2072600"/>
                        </a:xfrm>
                      </wpg:grpSpPr>
                      <wps:wsp>
                        <wps:cNvSpPr/>
                        <wps:cNvPr id="8" name="Shape 8"/>
                        <wps:spPr>
                          <a:xfrm>
                            <a:off x="3657600" y="2072650"/>
                            <a:ext cx="3886200" cy="181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4709175" y="1813550"/>
                            <a:ext cx="2644200" cy="170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02	Envío lineamientos Olimpiadas Math.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05 y 06 	Feria del Deporte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09-13	Repaso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12-13	Francofonía Acto Cívico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16-19	Exámenes del III parcial todos los grados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20	Acto Cívico Día del Padre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21 	Fogata Secundaria y 6to grado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23	Inicio de clases IV parcial del 23 de marzo al de junio, 55 días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30	De marzo al 03 de abril Semana Santa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200025</wp:posOffset>
                </wp:positionV>
                <wp:extent cx="3533775" cy="2137503"/>
                <wp:effectExtent b="0" l="0" r="0" t="0"/>
                <wp:wrapNone/>
                <wp:docPr id="8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21375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pPr w:leftFromText="180" w:rightFromText="180" w:topFromText="180" w:bottomFromText="180" w:vertAnchor="text" w:horzAnchor="text" w:tblpX="-65.99999999999966" w:tblpY="0"/>
        <w:tblW w:w="3078.0" w:type="dxa"/>
        <w:jc w:val="left"/>
        <w:tblLayout w:type="fixed"/>
        <w:tblLook w:val="0400"/>
      </w:tblPr>
      <w:tblGrid>
        <w:gridCol w:w="404"/>
        <w:gridCol w:w="473"/>
        <w:gridCol w:w="453"/>
        <w:gridCol w:w="400"/>
        <w:gridCol w:w="385"/>
        <w:gridCol w:w="426"/>
        <w:gridCol w:w="537"/>
        <w:tblGridChange w:id="0">
          <w:tblGrid>
            <w:gridCol w:w="404"/>
            <w:gridCol w:w="473"/>
            <w:gridCol w:w="453"/>
            <w:gridCol w:w="400"/>
            <w:gridCol w:w="385"/>
            <w:gridCol w:w="426"/>
            <w:gridCol w:w="537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Marzo 2026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22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29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i w:val="1"/>
                <w:highlight w:val="yellow"/>
              </w:rPr>
            </w:pP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i w:val="1"/>
                <w:highlight w:val="yellow"/>
              </w:rPr>
            </w:pP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ind w:left="2880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firstLine="708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270557</wp:posOffset>
                </wp:positionV>
                <wp:extent cx="3352800" cy="194310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81025" y="2617950"/>
                          <a:ext cx="3330000" cy="165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06       Retorno Clases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06-10  Olimpiadas de Math Local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07       Día de la Salud Acto Cívico (Mención)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11       Entrega de Informe Académico Tercer parcial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Acto día de las Américas Acto Cívico (Mención)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14       Feriado Día de las Américas (Boletín Informativo)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Semana del idioma Español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Día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de la Tierra Acto Cív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ico (Mención)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Día del Idioma Español Acto Cívico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30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Envio reporte de mitad del IV Parcial.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270557</wp:posOffset>
                </wp:positionV>
                <wp:extent cx="3352800" cy="1943100"/>
                <wp:effectExtent b="0" l="0" r="0" t="0"/>
                <wp:wrapNone/>
                <wp:docPr id="7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0" cy="194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3084.0" w:type="dxa"/>
        <w:jc w:val="left"/>
        <w:tblLayout w:type="fixed"/>
        <w:tblLook w:val="0400"/>
      </w:tblPr>
      <w:tblGrid>
        <w:gridCol w:w="404"/>
        <w:gridCol w:w="479"/>
        <w:gridCol w:w="453"/>
        <w:gridCol w:w="400"/>
        <w:gridCol w:w="385"/>
        <w:gridCol w:w="426"/>
        <w:gridCol w:w="537"/>
        <w:tblGridChange w:id="0">
          <w:tblGrid>
            <w:gridCol w:w="404"/>
            <w:gridCol w:w="479"/>
            <w:gridCol w:w="453"/>
            <w:gridCol w:w="400"/>
            <w:gridCol w:w="385"/>
            <w:gridCol w:w="426"/>
            <w:gridCol w:w="53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Abril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314325</wp:posOffset>
                </wp:positionV>
                <wp:extent cx="4191000" cy="2486025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375" y="2042150"/>
                          <a:ext cx="4978200" cy="26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01     	     Feriado Día del Trabajo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	     Acto Cívico Aniversario Nueva Generación/Rally Carritos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	     Celebración día de la Madre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Repasos exámenes Bach.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6	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esión de padres de familia seniors, 9no. ABC.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	     Exámenes 4to. Parcial Bachillerato/Semana repaso primaria y secundaria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29	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Exámenes de Recuperación y Reforzamiento Bachillerato y Exámenes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4to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Parcial para todos los grados.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5/05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3/06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Reservación de cupos próximo año lectivo, Pre matrícula con descuento.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30     	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ía del Árbol (Boletín Informativo)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314325</wp:posOffset>
                </wp:positionV>
                <wp:extent cx="4191000" cy="2486025"/>
                <wp:effectExtent b="0" l="0" r="0" t="0"/>
                <wp:wrapNone/>
                <wp:docPr id="7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0" cy="2486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W w:w="3095.0" w:type="dxa"/>
        <w:jc w:val="left"/>
        <w:tblLayout w:type="fixed"/>
        <w:tblLook w:val="0400"/>
      </w:tblPr>
      <w:tblGrid>
        <w:gridCol w:w="404"/>
        <w:gridCol w:w="475"/>
        <w:gridCol w:w="453"/>
        <w:gridCol w:w="400"/>
        <w:gridCol w:w="385"/>
        <w:gridCol w:w="441"/>
        <w:gridCol w:w="537"/>
        <w:tblGridChange w:id="0">
          <w:tblGrid>
            <w:gridCol w:w="404"/>
            <w:gridCol w:w="475"/>
            <w:gridCol w:w="453"/>
            <w:gridCol w:w="400"/>
            <w:gridCol w:w="385"/>
            <w:gridCol w:w="441"/>
            <w:gridCol w:w="53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Mayo   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i w:val="1"/>
                <w:color w:val="000000"/>
                <w:highlight w:val="yellow"/>
              </w:rPr>
            </w:pPr>
            <w:r w:rsidDel="00000000" w:rsidR="00000000" w:rsidRPr="00000000">
              <w:rPr>
                <w:i w:val="1"/>
                <w:color w:val="000000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left"/>
              <w:rPr>
                <w:i w:val="1"/>
                <w:color w:val="000000"/>
                <w:highlight w:val="yellow"/>
              </w:rPr>
            </w:pP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i w:val="1"/>
                <w:color w:val="000000"/>
                <w:highlight w:val="yellow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i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31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314325</wp:posOffset>
                </wp:positionV>
                <wp:extent cx="4191000" cy="2251166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375" y="2042150"/>
                          <a:ext cx="4978200" cy="26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	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Examen del Himno Bach.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	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Examen del Himno 9no., revisión exámenes, reposiciones y estudiantes, entregan libros de escuela a docentes. Recuperación anual.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04	     Examen de conocimiento de bachillerato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04-05	     Examen de Francés Bach.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	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Día del ambiente (Boletin)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08-09	     Defensa de T.E.S.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11 	     Día del estudiante (Boletin)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12	     Ceremonia de juramentación de graduandos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13 	     Actos de Graduación ABC, 9no, y Bach.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15-9	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Docentes entregan libros propiedad de la escuela a Coordinación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15-19	     Exámenes de recuperación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15-19	     Maestros entregan inventario libros, llaves a Coordinación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30	     Junio entrega de Certificados de estudios finales.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	     Vacaciones del personal docente del 23 de junio al 03 de agosto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	     01 julio al 30 agosto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matrícula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extraordinaria sin descuentos.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	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314325</wp:posOffset>
                </wp:positionV>
                <wp:extent cx="4191000" cy="2251166"/>
                <wp:effectExtent b="0" l="0" r="0" t="0"/>
                <wp:wrapNone/>
                <wp:docPr id="7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0" cy="22511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lock w:val="contentLocked"/>
        <w:id w:val="328743904"/>
        <w:tag w:val="goog_rdk_0"/>
      </w:sdtPr>
      <w:sdtContent>
        <w:tbl>
          <w:tblPr>
            <w:tblStyle w:val="Table11"/>
            <w:tblpPr w:leftFromText="180" w:rightFromText="180" w:topFromText="180" w:bottomFromText="180" w:vertAnchor="text" w:horzAnchor="text" w:tblpX="-20.99999999999966" w:tblpY="0"/>
            <w:tblW w:w="3095.0" w:type="dxa"/>
            <w:jc w:val="left"/>
            <w:tblLayout w:type="fixed"/>
            <w:tblLook w:val="0400"/>
          </w:tblPr>
          <w:tblGrid>
            <w:gridCol w:w="404"/>
            <w:gridCol w:w="475"/>
            <w:gridCol w:w="453"/>
            <w:gridCol w:w="400"/>
            <w:gridCol w:w="385"/>
            <w:gridCol w:w="441"/>
            <w:gridCol w:w="537"/>
            <w:tblGridChange w:id="0">
              <w:tblGrid>
                <w:gridCol w:w="404"/>
                <w:gridCol w:w="475"/>
                <w:gridCol w:w="453"/>
                <w:gridCol w:w="400"/>
                <w:gridCol w:w="385"/>
                <w:gridCol w:w="441"/>
                <w:gridCol w:w="537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tc>
              <w:tcPr>
                <w:gridSpan w:val="6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4D">
                <w:pPr>
                  <w:spacing w:after="0" w:line="240" w:lineRule="auto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Junio    2026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53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4">
                <w:pPr>
                  <w:spacing w:after="0"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lu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5">
                <w:pPr>
                  <w:spacing w:after="0"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6">
                <w:pPr>
                  <w:spacing w:after="0"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7">
                <w:pPr>
                  <w:spacing w:after="0"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8">
                <w:pPr>
                  <w:spacing w:after="0"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vi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9">
                <w:pPr>
                  <w:spacing w:after="0"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Sá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5A">
                <w:pPr>
                  <w:spacing w:after="0" w:line="240" w:lineRule="auto"/>
                  <w:jc w:val="center"/>
                  <w:rPr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ff0000"/>
                    <w:sz w:val="20"/>
                    <w:szCs w:val="20"/>
                    <w:rtl w:val="0"/>
                  </w:rPr>
                  <w:t xml:space="preserve">Do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D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E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5F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0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4" w:val="single"/>
                  <w:bottom w:color="000000" w:space="0" w:sz="4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61">
                <w:pPr>
                  <w:spacing w:after="0" w:line="240" w:lineRule="auto"/>
                  <w:jc w:val="center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7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8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4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6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68">
                <w:pPr>
                  <w:spacing w:after="0" w:line="240" w:lineRule="auto"/>
                  <w:jc w:val="center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14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8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9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A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B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C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D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6E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6F">
                <w:pPr>
                  <w:spacing w:after="0" w:line="240" w:lineRule="auto"/>
                  <w:jc w:val="center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8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0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1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2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3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4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5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276">
                <w:pPr>
                  <w:spacing w:after="0" w:line="240" w:lineRule="auto"/>
                  <w:jc w:val="center"/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8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7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8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highlight w:val="yellow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9">
                <w:pPr>
                  <w:spacing w:after="0" w:line="240" w:lineRule="auto"/>
                  <w:jc w:val="center"/>
                  <w:rPr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A">
                <w:pPr>
                  <w:spacing w:after="0" w:line="240" w:lineRule="auto"/>
                  <w:jc w:val="center"/>
                  <w:rPr>
                    <w:i w:val="1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7B">
                <w:pPr>
                  <w:spacing w:after="0" w:line="240" w:lineRule="auto"/>
                  <w:rPr>
                    <w:i w:val="1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27C">
                <w:pPr>
                  <w:spacing w:after="0" w:line="240" w:lineRule="auto"/>
                  <w:jc w:val="center"/>
                  <w:rPr>
                    <w:i w:val="1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8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27D">
                <w:pPr>
                  <w:spacing w:after="0" w:line="240" w:lineRule="auto"/>
                  <w:jc w:val="center"/>
                  <w:rPr>
                    <w:i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                       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1440" w:hanging="720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5F2C"/>
    <w:rPr>
      <w:rFonts w:eastAsiaTheme="minorEastAsi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5607EC"/>
    <w:pPr>
      <w:keepNext w:val="1"/>
      <w:numPr>
        <w:ilvl w:val="1"/>
        <w:numId w:val="1"/>
      </w:numPr>
      <w:spacing w:after="0" w:line="240" w:lineRule="auto"/>
      <w:jc w:val="center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eastAsia="es-ES" w:val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5607EC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5607EC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607EC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607EC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607EC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ar" w:customStyle="1">
    <w:name w:val="Título 3 Car"/>
    <w:basedOn w:val="Fuentedeprrafopredeter"/>
    <w:link w:val="Ttulo3"/>
    <w:rsid w:val="005607EC"/>
    <w:rPr>
      <w:rFonts w:ascii="Times New Roman" w:cs="Times New Roman" w:eastAsia="Times New Roman" w:hAnsi="Times New Roman"/>
      <w:b w:val="1"/>
      <w:bCs w:val="1"/>
      <w:sz w:val="24"/>
      <w:szCs w:val="24"/>
      <w:lang w:eastAsia="es-ES" w:val="es-ES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607EC"/>
    <w:rPr>
      <w:rFonts w:asciiTheme="majorHAnsi" w:cstheme="majorBidi" w:eastAsiaTheme="majorEastAsia" w:hAnsiTheme="majorHAnsi"/>
      <w:color w:val="1f3763" w:themeColor="accent1" w:themeShade="00007F"/>
      <w:lang w:eastAsia="es-MX" w:val="es-MX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607EC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eastAsia="es-MX" w:val="es-MX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607EC"/>
    <w:rPr>
      <w:rFonts w:asciiTheme="majorHAnsi" w:cstheme="majorBidi" w:eastAsiaTheme="majorEastAsia" w:hAnsiTheme="majorHAnsi"/>
      <w:i w:val="1"/>
      <w:iCs w:val="1"/>
      <w:color w:val="404040" w:themeColor="text1" w:themeTint="0000BF"/>
      <w:lang w:eastAsia="es-MX" w:val="es-MX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607EC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eastAsia="es-MX" w:val="es-MX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607EC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eastAsia="es-MX" w:val="es-MX"/>
    </w:rPr>
  </w:style>
  <w:style w:type="paragraph" w:styleId="Prrafodelista">
    <w:name w:val="List Paragraph"/>
    <w:basedOn w:val="Normal"/>
    <w:uiPriority w:val="34"/>
    <w:qFormat w:val="1"/>
    <w:rsid w:val="005607EC"/>
    <w:pPr>
      <w:ind w:left="720"/>
      <w:contextualSpacing w:val="1"/>
    </w:pPr>
  </w:style>
  <w:style w:type="paragraph" w:styleId="msoaccenttext3" w:customStyle="1">
    <w:name w:val="msoaccenttext3"/>
    <w:rsid w:val="005607EC"/>
    <w:pPr>
      <w:spacing w:after="0" w:line="240" w:lineRule="auto"/>
      <w:jc w:val="center"/>
    </w:pPr>
    <w:rPr>
      <w:rFonts w:ascii="Georgia" w:cs="Times New Roman" w:eastAsia="Times New Roman" w:hAnsi="Georgia"/>
      <w:b w:val="1"/>
      <w:bCs w:val="1"/>
      <w:color w:val="000000"/>
      <w:kern w:val="28"/>
      <w:sz w:val="14"/>
      <w:szCs w:val="14"/>
      <w:lang w:eastAsia="es-ES" w:val="es-ES"/>
    </w:rPr>
  </w:style>
  <w:style w:type="paragraph" w:styleId="msoaccenttext6" w:customStyle="1">
    <w:name w:val="msoaccenttext6"/>
    <w:rsid w:val="005607EC"/>
    <w:pPr>
      <w:spacing w:after="0" w:line="240" w:lineRule="auto"/>
      <w:jc w:val="center"/>
    </w:pPr>
    <w:rPr>
      <w:rFonts w:ascii="Georgia" w:cs="Times New Roman" w:eastAsia="Times New Roman" w:hAnsi="Georgia"/>
      <w:color w:val="000000"/>
      <w:kern w:val="28"/>
      <w:sz w:val="19"/>
      <w:szCs w:val="19"/>
      <w:lang w:eastAsia="es-ES" w:val="es-ES"/>
    </w:rPr>
  </w:style>
  <w:style w:type="table" w:styleId="Tablaconcuadrcula">
    <w:name w:val="Table Grid"/>
    <w:basedOn w:val="Tablanormal"/>
    <w:uiPriority w:val="59"/>
    <w:rsid w:val="005607EC"/>
    <w:pPr>
      <w:spacing w:after="0" w:line="240" w:lineRule="auto"/>
    </w:pPr>
    <w:rPr>
      <w:rFonts w:eastAsiaTheme="minorEastAsia"/>
      <w:lang w:val="es-E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07E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07EC"/>
    <w:rPr>
      <w:rFonts w:ascii="Tahoma" w:cs="Tahoma" w:hAnsi="Tahoma" w:eastAsiaTheme="minorEastAsia"/>
      <w:sz w:val="16"/>
      <w:szCs w:val="16"/>
      <w:lang w:eastAsia="es-MX" w:val="es-MX"/>
    </w:rPr>
  </w:style>
  <w:style w:type="paragraph" w:styleId="Default" w:customStyle="1">
    <w:name w:val="Default"/>
    <w:rsid w:val="005607EC"/>
    <w:pPr>
      <w:autoSpaceDE w:val="0"/>
      <w:autoSpaceDN w:val="0"/>
      <w:adjustRightInd w:val="0"/>
      <w:spacing w:after="0" w:line="240" w:lineRule="auto"/>
    </w:pPr>
    <w:rPr>
      <w:rFonts w:ascii="Arial" w:cs="Arial" w:hAnsi="Arial" w:eastAsiaTheme="minorEastAs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607E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607EC"/>
    <w:rPr>
      <w:rFonts w:eastAsiaTheme="minorEastAsia"/>
      <w:lang w:eastAsia="es-MX"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607E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607EC"/>
    <w:rPr>
      <w:rFonts w:eastAsiaTheme="minorEastAsia"/>
      <w:lang w:eastAsia="es-MX" w:val="es-MX"/>
    </w:rPr>
  </w:style>
  <w:style w:type="paragraph" w:styleId="Sangra3detindependiente">
    <w:name w:val="Body Text Indent 3"/>
    <w:basedOn w:val="Normal"/>
    <w:link w:val="Sangra3detindependienteCar"/>
    <w:rsid w:val="005607EC"/>
    <w:pPr>
      <w:spacing w:after="0" w:line="240" w:lineRule="auto"/>
      <w:ind w:firstLine="708"/>
    </w:pPr>
    <w:rPr>
      <w:rFonts w:ascii="Abadi MT Condensed Light" w:cs="Arial" w:eastAsia="Times New Roman" w:hAnsi="Abadi MT Condensed Light"/>
      <w:sz w:val="24"/>
      <w:szCs w:val="24"/>
      <w:lang w:eastAsia="es-ES" w:val="es-ES"/>
    </w:rPr>
  </w:style>
  <w:style w:type="character" w:styleId="Sangra3detindependienteCar" w:customStyle="1">
    <w:name w:val="Sangría 3 de t. independiente Car"/>
    <w:basedOn w:val="Fuentedeprrafopredeter"/>
    <w:link w:val="Sangra3detindependiente"/>
    <w:rsid w:val="005607EC"/>
    <w:rPr>
      <w:rFonts w:ascii="Abadi MT Condensed Light" w:cs="Arial" w:eastAsia="Times New Roman" w:hAnsi="Abadi MT Condensed Light"/>
      <w:sz w:val="24"/>
      <w:szCs w:val="24"/>
      <w:lang w:eastAsia="es-ES"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5607EC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rsid w:val="005607EC"/>
    <w:rPr>
      <w:rFonts w:eastAsiaTheme="minorEastAsia"/>
      <w:lang w:eastAsia="es-MX" w:val="es-MX"/>
    </w:rPr>
  </w:style>
  <w:style w:type="paragraph" w:styleId="Sinespaciado">
    <w:name w:val="No Spacing"/>
    <w:uiPriority w:val="1"/>
    <w:qFormat w:val="1"/>
    <w:rsid w:val="005607EC"/>
    <w:pPr>
      <w:spacing w:after="0" w:line="240" w:lineRule="auto"/>
    </w:pPr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60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607EC"/>
    <w:rPr>
      <w:rFonts w:cs="Times New Roman" w:eastAsia="Calibri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607EC"/>
    <w:rPr>
      <w:rFonts w:ascii="Calibri" w:cs="Times New Roman" w:eastAsia="Calibri" w:hAnsi="Calibri"/>
      <w:sz w:val="20"/>
      <w:szCs w:val="20"/>
      <w:lang w:eastAsia="es-MX"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607E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607EC"/>
    <w:rPr>
      <w:rFonts w:ascii="Calibri" w:cs="Times New Roman" w:eastAsia="Calibri" w:hAnsi="Calibri"/>
      <w:b w:val="1"/>
      <w:bCs w:val="1"/>
      <w:sz w:val="20"/>
      <w:szCs w:val="20"/>
      <w:lang w:eastAsia="es-MX" w:val="es-MX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5607EC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5607EC"/>
    <w:rPr>
      <w:rFonts w:eastAsiaTheme="minorEastAsia"/>
      <w:lang w:eastAsia="es-MX" w:val="es-MX"/>
    </w:rPr>
  </w:style>
  <w:style w:type="paragraph" w:styleId="Descripcin">
    <w:name w:val="caption"/>
    <w:basedOn w:val="Normal"/>
    <w:next w:val="Normal"/>
    <w:qFormat w:val="1"/>
    <w:rsid w:val="005607EC"/>
    <w:pPr>
      <w:tabs>
        <w:tab w:val="right" w:pos="2919"/>
      </w:tabs>
      <w:spacing w:after="0" w:before="360" w:line="240" w:lineRule="auto"/>
      <w:jc w:val="both"/>
    </w:pPr>
    <w:rPr>
      <w:rFonts w:ascii="Arial" w:cs="Times New Roman" w:eastAsia="Times New Roman" w:hAnsi="Arial"/>
      <w:sz w:val="24"/>
      <w:szCs w:val="20"/>
      <w:lang w:eastAsia="es-ES"/>
    </w:rPr>
  </w:style>
  <w:style w:type="character" w:styleId="Hipervnculo">
    <w:name w:val="Hyperlink"/>
    <w:rsid w:val="005607EC"/>
    <w:rPr>
      <w:color w:val="0000ff"/>
      <w:u w:val="single"/>
    </w:rPr>
  </w:style>
  <w:style w:type="character" w:styleId="CitaHTML">
    <w:name w:val="HTML Cite"/>
    <w:uiPriority w:val="99"/>
    <w:unhideWhenUsed w:val="1"/>
    <w:rsid w:val="005607EC"/>
    <w:rPr>
      <w:i w:val="1"/>
      <w:i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aKrmLGyaUT2KZt2HIX3bVI3XQ==">CgMxLjAaHwoBMBIaChgICVIUChJ0YWJsZS5jcG0wcGt3azZsbHMyCGguZ2pkZ3hzOABqHwoUc3VnZ2VzdC5qbHZlM3YxOXA5dDISB1pvcmFpZGFqHwoUc3VnZ2VzdC5lNnlpenA5OHNvMHYSB1pvcmFpZGFyITFLdUFSMHV5Ym91MnQ3eEU0V2JERlpqRjBqWVpzNVJHTg==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2024-08-12T03:24:00Z</dcterms:created>
  <dc:creator>50495318520</dc:creator>
</cp:coreProperties>
</file>